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C44D9B" w:rsidRDefault="00000000">
      <w:pPr>
        <w:pStyle w:val="Heading1"/>
      </w:pPr>
      <w:r>
        <w:t>Minor Clarifications to Construction Drawings</w:t>
      </w:r>
    </w:p>
    <w:p w14:paraId="00000002" w14:textId="77777777" w:rsidR="00C44D9B" w:rsidRDefault="00000000">
      <w:r>
        <w:t xml:space="preserve">The following is a list of minor </w:t>
      </w:r>
      <w:proofErr w:type="gramStart"/>
      <w:r>
        <w:t>clarification</w:t>
      </w:r>
      <w:proofErr w:type="gramEnd"/>
      <w:r>
        <w:t xml:space="preserve"> to the construction drawings that must be considered in the bid. </w:t>
      </w:r>
    </w:p>
    <w:p w14:paraId="00000003" w14:textId="70EEFD60" w:rsidR="00C44D9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This bid is only for the sanctuary, atrium, and </w:t>
      </w:r>
      <w:r w:rsidR="00C42BBF">
        <w:rPr>
          <w:color w:val="000000"/>
        </w:rPr>
        <w:t xml:space="preserve">required </w:t>
      </w:r>
      <w:r>
        <w:rPr>
          <w:color w:val="000000"/>
        </w:rPr>
        <w:t xml:space="preserve">sitework, termed “Phase 1”.  The education and office building, termed “phase 2”, will be constructed but are not part of this bid. </w:t>
      </w:r>
      <w:r w:rsidR="00C42BBF">
        <w:rPr>
          <w:color w:val="000000"/>
        </w:rPr>
        <w:t xml:space="preserve"> All parking lots will be part of phase 3, and no </w:t>
      </w:r>
      <w:proofErr w:type="gramStart"/>
      <w:r w:rsidR="00C42BBF">
        <w:rPr>
          <w:color w:val="000000"/>
        </w:rPr>
        <w:t>long</w:t>
      </w:r>
      <w:proofErr w:type="gramEnd"/>
      <w:r w:rsidR="00C42BBF">
        <w:rPr>
          <w:color w:val="000000"/>
        </w:rPr>
        <w:t xml:space="preserve"> part of Phase 1.  Any mandatory storm water management items for Phase 1 to be fully usable are included in Phase 1.  </w:t>
      </w:r>
      <w:r>
        <w:rPr>
          <w:color w:val="000000"/>
        </w:rPr>
        <w:t xml:space="preserve"> All items in Phase 1 must be complete and usable without any work in Phase 2</w:t>
      </w:r>
      <w:r w:rsidR="00C42BBF">
        <w:rPr>
          <w:color w:val="000000"/>
        </w:rPr>
        <w:t xml:space="preserve"> or Phase 3</w:t>
      </w:r>
      <w:r>
        <w:rPr>
          <w:color w:val="000000"/>
        </w:rPr>
        <w:t>.</w:t>
      </w:r>
    </w:p>
    <w:p w14:paraId="00000004" w14:textId="77777777" w:rsidR="00C44D9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All work must be completed in a fashion to allow use of the existing building.</w:t>
      </w:r>
    </w:p>
    <w:p w14:paraId="00000005" w14:textId="1B7B41E4" w:rsidR="00C44D9B" w:rsidRPr="00C42BB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Flat Roof of Mechanical bump-out area needs to be white TPO (thermoplastic polyolefin</w:t>
      </w:r>
      <w:proofErr w:type="gramStart"/>
      <w:r>
        <w:rPr>
          <w:color w:val="000000"/>
        </w:rPr>
        <w:t>)..</w:t>
      </w:r>
      <w:proofErr w:type="gramEnd"/>
    </w:p>
    <w:p w14:paraId="00000006" w14:textId="41AA5ED5" w:rsidR="00C44D9B" w:rsidRDefault="00C42BBF" w:rsidP="00C42B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42BBF">
        <w:rPr>
          <w:color w:val="000000"/>
        </w:rPr>
        <w:t>Access road and parking directly south of the existing building are to remain in place.</w:t>
      </w:r>
    </w:p>
    <w:p w14:paraId="00000007" w14:textId="77777777" w:rsidR="00C44D9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AC condensers on </w:t>
      </w:r>
      <w:proofErr w:type="gramStart"/>
      <w:r>
        <w:rPr>
          <w:color w:val="000000"/>
        </w:rPr>
        <w:t>north</w:t>
      </w:r>
      <w:proofErr w:type="gramEnd"/>
      <w:r>
        <w:rPr>
          <w:color w:val="000000"/>
        </w:rPr>
        <w:t xml:space="preserve"> and south of the existing building will remain in place.</w:t>
      </w:r>
    </w:p>
    <w:p w14:paraId="00000008" w14:textId="77777777" w:rsidR="00C44D9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None of the demolition work on the existing building is part of this bid and will be part of Phase 2.</w:t>
      </w:r>
    </w:p>
    <w:p w14:paraId="00000009" w14:textId="77777777" w:rsidR="00C44D9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Existing ramp and sidewalk on the south side of the existing building will remain in place.  Connect the new sidewalks to existing </w:t>
      </w:r>
      <w:proofErr w:type="gramStart"/>
      <w:r>
        <w:rPr>
          <w:color w:val="000000"/>
        </w:rPr>
        <w:t>ramp</w:t>
      </w:r>
      <w:proofErr w:type="gramEnd"/>
      <w:r>
        <w:rPr>
          <w:color w:val="000000"/>
        </w:rPr>
        <w:t>.</w:t>
      </w:r>
    </w:p>
    <w:p w14:paraId="0000000A" w14:textId="77777777" w:rsidR="00C44D9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gramStart"/>
      <w:r>
        <w:rPr>
          <w:color w:val="000000"/>
        </w:rPr>
        <w:t>Contractor</w:t>
      </w:r>
      <w:proofErr w:type="gramEnd"/>
      <w:r>
        <w:rPr>
          <w:color w:val="000000"/>
        </w:rPr>
        <w:t xml:space="preserve"> must maintain jobsite cleanliness around the existing building. </w:t>
      </w:r>
    </w:p>
    <w:p w14:paraId="0000000B" w14:textId="77777777" w:rsidR="00C44D9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No work will be performed on Sunday.</w:t>
      </w:r>
    </w:p>
    <w:p w14:paraId="0000000C" w14:textId="77777777" w:rsidR="00C44D9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Include baby changing </w:t>
      </w:r>
      <w:proofErr w:type="gramStart"/>
      <w:r>
        <w:rPr>
          <w:color w:val="000000"/>
        </w:rPr>
        <w:t>station</w:t>
      </w:r>
      <w:proofErr w:type="gramEnd"/>
      <w:r>
        <w:rPr>
          <w:color w:val="000000"/>
        </w:rPr>
        <w:t xml:space="preserve"> in the main men’s, women’s, and family bathrooms.</w:t>
      </w:r>
    </w:p>
    <w:p w14:paraId="0000000D" w14:textId="77777777" w:rsidR="00C44D9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Include sanitary napkin receptacles in all women’s bathrooms.</w:t>
      </w:r>
    </w:p>
    <w:p w14:paraId="0000000F" w14:textId="77777777" w:rsidR="00C44D9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Sanctuary chairs will be provided by others.</w:t>
      </w:r>
    </w:p>
    <w:p w14:paraId="00000010" w14:textId="77777777" w:rsidR="00C44D9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Pulpit will be provided by others.</w:t>
      </w:r>
    </w:p>
    <w:p w14:paraId="00000011" w14:textId="198C8053" w:rsidR="00C44D9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Include blocking </w:t>
      </w:r>
      <w:proofErr w:type="gramStart"/>
      <w:r>
        <w:rPr>
          <w:color w:val="000000"/>
        </w:rPr>
        <w:t>for</w:t>
      </w:r>
      <w:proofErr w:type="gramEnd"/>
      <w:r>
        <w:rPr>
          <w:color w:val="000000"/>
        </w:rPr>
        <w:t xml:space="preserve"> acoustical ti</w:t>
      </w:r>
      <w:r w:rsidR="00C42BBF">
        <w:rPr>
          <w:color w:val="000000"/>
        </w:rPr>
        <w:t>l</w:t>
      </w:r>
      <w:r>
        <w:rPr>
          <w:color w:val="000000"/>
        </w:rPr>
        <w:t xml:space="preserve">es.  </w:t>
      </w:r>
      <w:proofErr w:type="gramStart"/>
      <w:r>
        <w:rPr>
          <w:color w:val="000000"/>
        </w:rPr>
        <w:t>Acoustical</w:t>
      </w:r>
      <w:proofErr w:type="gramEnd"/>
      <w:r>
        <w:rPr>
          <w:color w:val="000000"/>
        </w:rPr>
        <w:t xml:space="preserve"> tiles will be provided by others.</w:t>
      </w:r>
    </w:p>
    <w:p w14:paraId="00000012" w14:textId="77777777" w:rsidR="00C44D9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All runs for audio visual items must be run with ¾” individual conduit, boxes, and pull wires.  Audio Visual equipment will be provided by others.  </w:t>
      </w:r>
    </w:p>
    <w:p w14:paraId="00000013" w14:textId="77777777" w:rsidR="00C44D9B" w:rsidRDefault="00C44D9B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sectPr w:rsidR="00C44D9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EAEFEC33-4A08-4713-8C9D-DC1A7B20E7E1}"/>
    <w:embedItalic r:id="rId2" w:fontKey="{7EAA3C5D-4037-46B8-9C83-B89482A27BC8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3" w:fontKey="{389C0C35-4D46-48C3-B2CB-5C04ABBC394B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2263A6"/>
    <w:multiLevelType w:val="multilevel"/>
    <w:tmpl w:val="4E28ADA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509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D9B"/>
    <w:rsid w:val="00BA48AC"/>
    <w:rsid w:val="00C42BBF"/>
    <w:rsid w:val="00C4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7D3DB"/>
  <w15:docId w15:val="{8CFF04CF-C7DC-4AB3-B2CC-83E926CA8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59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59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59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59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59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59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59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59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59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D59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BD59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59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59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59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59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59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59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59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599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BD5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59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59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59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59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59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59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59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59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j1b5YphAzxBdYBT4wIO5jzAn/Q==">CgMxLjA4AHIhMTRKYVQtX0Z4dURkVlh0d0V4UTJQZ29OS0dHUWdGWWZy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Wise</dc:creator>
  <cp:lastModifiedBy>Kevin Wise</cp:lastModifiedBy>
  <cp:revision>2</cp:revision>
  <dcterms:created xsi:type="dcterms:W3CDTF">2024-05-16T23:47:00Z</dcterms:created>
  <dcterms:modified xsi:type="dcterms:W3CDTF">2024-11-10T13:46:00Z</dcterms:modified>
</cp:coreProperties>
</file>